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E2" w:rsidRDefault="006122FF">
      <w:r>
        <w:t xml:space="preserve">Vključujoči </w:t>
      </w:r>
      <w:proofErr w:type="spellStart"/>
      <w:r>
        <w:t>Erasmus</w:t>
      </w:r>
      <w:proofErr w:type="spellEnd"/>
      <w:r>
        <w:t xml:space="preserve">+ Vključevanje v </w:t>
      </w:r>
      <w:proofErr w:type="spellStart"/>
      <w:r>
        <w:t>Erasmus</w:t>
      </w:r>
      <w:proofErr w:type="spellEnd"/>
      <w:r>
        <w:t xml:space="preserve">+ programu razumemo kot prizadevanja za večanje dostopnosti programa, za čim večjo in raznoliko udeležbo ter spodbujanje enakih možnosti za udeležence z manj priložnostmi. Z različnimi aktivnostmi znotraj programa bomo spodbujali identifikacijo ovir, ki udeležencem z manj priložnostmi preprečujejo dostop v enaki meri in tudi mehanizmov za odstranjevanje teh ovir. Evropska komisija je za lažje izvajanje vključujočega pristopa pripravila krovni strateški dokument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oz. Strategijo vključevanja in raznolikosti. V Strategiji je identificiranih osem glavnih kategorij ovir, ki jih program identificira kot najpogostejše pri onemogočanju polne vključitve: 1. Posebne potrebe: fizične, duševne, intelektualne ali senzorične motnje. 2. Zdravstvene težave: hude oz. kronične bolezni, zdravstvene motnje, druga telesna ali duševna stanja. 3. Ovire, povezane s sistemi izobraževanja in usposabljanja: manjša učna uspešnost, mladi, ki zgodaj opustijo šolanje, in brezposelni mladi, nizko kvalificirani odrasli. 4. Kulturne razlike: posamezniki z </w:t>
      </w:r>
      <w:proofErr w:type="spellStart"/>
      <w:r>
        <w:t>migrantskim</w:t>
      </w:r>
      <w:proofErr w:type="spellEnd"/>
      <w:r>
        <w:t xml:space="preserve"> ali begunskim ozadjem, novo prispeli migranti, pripadniki nacionalnih ali etničnih manjšin, uporabnike znakovnega jezika oz. z jezikovnim prilagajanjem, težave s kulturno vključenostjo itd. 5. Družbene ovire: omejene socialne kompetence, asocialna ali visoko tvegana vedenja, (nekdanji) storilci kaznivih dejanj in uporabniki drog/alkohola, ostala socialna marginalizacija, specifične družinske okoliščine (prva oseba v družini, ki se izobražuje na terciarni ravni, starši (zlasti samohranilci/samohranilke), skrbniki, hranitelji, sirote, osebe iz institucionalne oskrbe itn.). 6. Ekonomske ovire: nizki življenjski standard, nizki dohodki, izobraževanje ob delu, prejemniki socialnovarstvenih dodatkov, dolgotrajno brezposelni, negotove življenjske razmere ali revščina, brezdomci, finančne težave itd. 7. Ovire, povezane z diskriminacijo: diskriminacije zaradi spola, starosti, etnične pripadnosti, religije, prepričanj, spolne usmerjenosti, invalidnosti ali kadar gre za kombinacijo ene ali več omenjenih </w:t>
      </w:r>
      <w:proofErr w:type="spellStart"/>
      <w:r>
        <w:t>diskriminatornih</w:t>
      </w:r>
      <w:proofErr w:type="spellEnd"/>
      <w:r>
        <w:t xml:space="preserve"> ovir. 8. Geografske ovire: življenje na oddaljenih ali podeželskih območjih, majhnih otokih ali v obrobnih oddaljenih regijah, v predmestjih, v območjih z manj storitvami (omejen javni prevoz, slaba infrastruktura) itd. Udeleženci z manj priložnostmi se z različnimi ovirami srečajo najprej v svojem lokalnem okolju nato pa še na ravni sistema oziroma v samem procesu storitev (pri informiranju, selekciji, izboru, podpori in spremljanju). Da bi te ovire pravočasno in pravilno identificirali in odpravili, strategija še posebej izpostavlja pomembnost individualnega pristopa k udeležencem in razumevanja njihovega osebnega konteksta. V procesu postavljanja strategije je Evropska komisija prepoznala potrebe po bolj vključujočih oblikah mobilnosti za udeležence z manj priložnostmi, po dodatnih finančnih sredstvih, do katerih je sedaj upravičeno večje število udeležencev, in po dodatni organizacijski podpori ob vzpostavitvi vključujočih podpornih sistemov. Prav tako Strategija institucije spodbuja k povezovanju in deljenju dobrih praks, izpolnjevanju in usposabljanju strokovnega osebja (t.i. skrbniki vključenosti), oblikovanju internih strateških ciljev in pristopov itn. POZIV - Dodatna sredstva iz naslova posebnih potreb VLOGA – Dodatna sredstva iz naslova posebnih potreb</w:t>
      </w:r>
    </w:p>
    <w:p w:rsidR="006122FF" w:rsidRDefault="006122FF" w:rsidP="006122FF">
      <w:pPr>
        <w:pStyle w:val="Default"/>
      </w:pPr>
    </w:p>
    <w:p w:rsidR="006122FF" w:rsidRDefault="006122FF" w:rsidP="006122FF">
      <w:hyperlink r:id="rId4" w:history="1">
        <w:r w:rsidRPr="006122FF">
          <w:rPr>
            <w:rStyle w:val="Hiperpovezava"/>
          </w:rPr>
          <w:t xml:space="preserve"> </w:t>
        </w:r>
        <w:r w:rsidRPr="006122FF">
          <w:rPr>
            <w:rStyle w:val="Hiperpovezava"/>
            <w:sz w:val="32"/>
            <w:szCs w:val="32"/>
          </w:rPr>
          <w:t>POZIV - Dodatna sredstva iz naslova pose</w:t>
        </w:r>
        <w:r w:rsidRPr="006122FF">
          <w:rPr>
            <w:rStyle w:val="Hiperpovezava"/>
            <w:sz w:val="32"/>
            <w:szCs w:val="32"/>
          </w:rPr>
          <w:t>b</w:t>
        </w:r>
        <w:r w:rsidRPr="006122FF">
          <w:rPr>
            <w:rStyle w:val="Hiperpovezava"/>
            <w:sz w:val="32"/>
            <w:szCs w:val="32"/>
          </w:rPr>
          <w:t>nih potreb</w:t>
        </w:r>
      </w:hyperlink>
    </w:p>
    <w:p w:rsidR="006122FF" w:rsidRDefault="006122FF" w:rsidP="006122FF"/>
    <w:p w:rsidR="006122FF" w:rsidRDefault="006122FF" w:rsidP="006122FF">
      <w:pPr>
        <w:pStyle w:val="Default"/>
      </w:pPr>
    </w:p>
    <w:p w:rsidR="006122FF" w:rsidRDefault="006122FF" w:rsidP="006122FF">
      <w:r>
        <w:t xml:space="preserve"> </w:t>
      </w:r>
      <w:hyperlink r:id="rId5" w:history="1">
        <w:r w:rsidRPr="0017457D">
          <w:rPr>
            <w:rStyle w:val="Hiperpovezava"/>
            <w:sz w:val="32"/>
            <w:szCs w:val="32"/>
          </w:rPr>
          <w:t>VLOGA – Dodatna sredstva iz naslov</w:t>
        </w:r>
        <w:r w:rsidRPr="0017457D">
          <w:rPr>
            <w:rStyle w:val="Hiperpovezava"/>
            <w:sz w:val="32"/>
            <w:szCs w:val="32"/>
          </w:rPr>
          <w:t>a</w:t>
        </w:r>
        <w:r w:rsidRPr="0017457D">
          <w:rPr>
            <w:rStyle w:val="Hiperpovezava"/>
            <w:sz w:val="32"/>
            <w:szCs w:val="32"/>
          </w:rPr>
          <w:t xml:space="preserve"> posebnih potreb</w:t>
        </w:r>
      </w:hyperlink>
    </w:p>
    <w:sectPr w:rsidR="006122FF" w:rsidSect="0001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22FF"/>
    <w:rsid w:val="000132E2"/>
    <w:rsid w:val="0017457D"/>
    <w:rsid w:val="0061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32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2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122F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45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d.si/wp-content/uploads/2022/10/VLOGA-&#8211;-Dodatna-sredstva-iz-naslova-posebnih-potreb-KA131_2021-5.docx" TargetMode="External"/><Relationship Id="rId4" Type="http://schemas.openxmlformats.org/officeDocument/2006/relationships/hyperlink" Target="https://fd.si/wp-content/uploads/2022/02/POZIV-Dodatna-sredstva-iz-naslova-posebnih-potreb-%E2%80%93-akcija-KA131_2021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2022-10-21T11:38:00Z</dcterms:created>
  <dcterms:modified xsi:type="dcterms:W3CDTF">2022-10-21T11:41:00Z</dcterms:modified>
</cp:coreProperties>
</file>